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pStyle w:val="Header"/>
        <w:tabs>
          <w:tab w:val="center" w:pos="9483"/>
        </w:tabs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 w:rsidP="00781A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A1F" w:rsidRPr="00781A1F" w:rsidRDefault="00781A1F" w:rsidP="00781A1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781A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Toolbox for Geriatric Assessment.</w:t>
      </w:r>
    </w:p>
    <w:p w:rsidR="00781A1F" w:rsidRPr="00781A1F" w:rsidRDefault="00781A1F" w:rsidP="00781A1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781A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Student’s Name:</w:t>
      </w:r>
    </w:p>
    <w:p w:rsidR="00E02D17" w:rsidRPr="00781A1F" w:rsidRDefault="007C57C4" w:rsidP="00781A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1A1F">
        <w:rPr>
          <w:rFonts w:ascii="Times New Roman" w:hAnsi="Times New Roman" w:cs="Times New Roman"/>
          <w:sz w:val="24"/>
          <w:szCs w:val="24"/>
        </w:rPr>
        <w:t>Institution</w:t>
      </w:r>
    </w:p>
    <w:p w:rsidR="00E02D17" w:rsidRPr="00781A1F" w:rsidRDefault="00E02D17" w:rsidP="00781A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 w:rsidP="00781A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 w:rsidP="00781A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  <w:sectPr w:rsidR="00E02D17" w:rsidRPr="00781A1F">
          <w:headerReference w:type="default" r:id="rId7"/>
          <w:headerReference w:type="first" r:id="rId8"/>
          <w:pgSz w:w="12240" w:h="15840"/>
          <w:pgMar w:top="1988" w:right="1440" w:bottom="1440" w:left="1440" w:header="1440" w:footer="0" w:gutter="0"/>
          <w:cols w:space="720"/>
          <w:formProt w:val="0"/>
          <w:titlePg/>
          <w:docGrid w:linePitch="360" w:charSpace="16384"/>
        </w:sectPr>
      </w:pPr>
    </w:p>
    <w:p w:rsidR="00781A1F" w:rsidRPr="00781A1F" w:rsidRDefault="007C57C4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781A1F">
        <w:rPr>
          <w:rFonts w:ascii="Times New Roman" w:hAnsi="Times New Roman" w:cs="Times New Roman"/>
          <w:sz w:val="24"/>
          <w:szCs w:val="24"/>
        </w:rPr>
        <w:lastRenderedPageBreak/>
        <w:tab/>
      </w:r>
    </w:p>
    <w:tbl>
      <w:tblPr>
        <w:tblStyle w:val="TableGrid"/>
        <w:tblW w:w="0" w:type="auto"/>
        <w:tblLook w:val="04A0"/>
      </w:tblPr>
      <w:tblGrid>
        <w:gridCol w:w="2535"/>
        <w:gridCol w:w="2506"/>
        <w:gridCol w:w="2366"/>
        <w:gridCol w:w="1943"/>
      </w:tblGrid>
      <w:tr w:rsidR="00781A1F" w:rsidRPr="00781A1F" w:rsidTr="0084285A">
        <w:tc>
          <w:tcPr>
            <w:tcW w:w="2535" w:type="dxa"/>
          </w:tcPr>
          <w:p w:rsidR="00781A1F" w:rsidRPr="00781A1F" w:rsidRDefault="00781A1F" w:rsidP="00781A1F">
            <w:pPr>
              <w:pStyle w:val="ListParagraph"/>
              <w:numPr>
                <w:ilvl w:val="0"/>
                <w:numId w:val="4"/>
              </w:numPr>
              <w:suppressAutoHyphens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b/>
                <w:sz w:val="24"/>
                <w:szCs w:val="24"/>
              </w:rPr>
              <w:t>Problems (Symptom)</w:t>
            </w:r>
          </w:p>
        </w:tc>
        <w:tc>
          <w:tcPr>
            <w:tcW w:w="2506" w:type="dxa"/>
          </w:tcPr>
          <w:p w:rsidR="00781A1F" w:rsidRPr="00781A1F" w:rsidRDefault="00781A1F" w:rsidP="00781A1F">
            <w:pPr>
              <w:pStyle w:val="ListParagraph"/>
              <w:numPr>
                <w:ilvl w:val="0"/>
                <w:numId w:val="4"/>
              </w:numPr>
              <w:suppressAutoHyphens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b/>
                <w:sz w:val="24"/>
                <w:szCs w:val="24"/>
              </w:rPr>
              <w:t>Assessment tool recommended</w:t>
            </w:r>
          </w:p>
        </w:tc>
        <w:tc>
          <w:tcPr>
            <w:tcW w:w="2366" w:type="dxa"/>
          </w:tcPr>
          <w:p w:rsidR="00781A1F" w:rsidRPr="00781A1F" w:rsidRDefault="00781A1F" w:rsidP="00781A1F">
            <w:pPr>
              <w:pStyle w:val="ListParagraph"/>
              <w:numPr>
                <w:ilvl w:val="0"/>
                <w:numId w:val="4"/>
              </w:numPr>
              <w:suppressAutoHyphens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b/>
                <w:sz w:val="24"/>
                <w:szCs w:val="24"/>
              </w:rPr>
              <w:t>The tool best suited for problem need and population</w:t>
            </w:r>
          </w:p>
        </w:tc>
        <w:tc>
          <w:tcPr>
            <w:tcW w:w="1943" w:type="dxa"/>
          </w:tcPr>
          <w:p w:rsidR="00781A1F" w:rsidRPr="00781A1F" w:rsidRDefault="00781A1F" w:rsidP="00781A1F">
            <w:pPr>
              <w:pStyle w:val="ListParagraph"/>
              <w:numPr>
                <w:ilvl w:val="0"/>
                <w:numId w:val="4"/>
              </w:numPr>
              <w:suppressAutoHyphens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b/>
                <w:sz w:val="24"/>
                <w:szCs w:val="24"/>
              </w:rPr>
              <w:t>Trial assessment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>Ethnogeriatrics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This is a component of geriatrics that usually influences the culture on health systems and well being of older persons.</w:t>
            </w:r>
          </w:p>
          <w:p w:rsidR="00781A1F" w:rsidRPr="00781A1F" w:rsidRDefault="00781A1F" w:rsidP="0084285A">
            <w:pPr>
              <w:pStyle w:val="Default"/>
            </w:pP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The tool that is typically used  is the </w:t>
            </w: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Assessment Preparatory Considerations that analyses different norms and how they can influence the health system of a community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Ensure that we cultivate on positive cultural norms that support health systems of various groups of people in the society.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Ethnicity frequently influences the patient-medic relationship due to the difference in cultural norms.  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b/>
              </w:rPr>
            </w:pP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Evaluate nocturnal polyuria, urinary incontinence, BPH. Assess UTI symptoms  tool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Lifestyle modifications and improved diets accompanied with regular body exercise to regulate the levels of obesity in their bodies.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The lifestyle patterns older persons trigger the nature of complications that generally affect them in old age.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jc w:val="center"/>
              <w:rPr>
                <w:b/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>Healthcare decision</w:t>
            </w: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 </w:t>
            </w:r>
          </w:p>
          <w:p w:rsidR="00781A1F" w:rsidRPr="00781A1F" w:rsidRDefault="00781A1F" w:rsidP="0084285A">
            <w:pPr>
              <w:pStyle w:val="Default"/>
            </w:pP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 xml:space="preserve">Communication Difficulties: Assessment and Interventions is the tool that helps in decision making to ensure that each patient has a chance to give perceptions regarding a  particular healthcare decision made.  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Sensitize and educate the elderly on effective decision making on health-related matters. 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The relevant section of the older persons suffers various health-related complications as a result of poor healthcare decisions.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</w:pP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Function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rPr>
                <w:rStyle w:val="field-content"/>
              </w:rPr>
              <w:t xml:space="preserve">This is the absolute dependence of people ton others to perform certain activities. 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Ensure full support to those that depend on us and especially the elderly persons who mostly depend on others in any duty </w:t>
            </w: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they engage in.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level of performance among different groups of people depends on how their close </w:t>
            </w: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relatives or friends perform.   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Transitional care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This is the set of activities designed in to uphold coordination of healthcare as a result of patient’s mobility.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This is very sensitive to patients with critical health complications.</w:t>
            </w:r>
          </w:p>
          <w:p w:rsidR="00781A1F" w:rsidRPr="00781A1F" w:rsidRDefault="00781A1F" w:rsidP="0084285A">
            <w:pPr>
              <w:pStyle w:val="Default"/>
            </w:pPr>
          </w:p>
          <w:p w:rsidR="00781A1F" w:rsidRPr="00781A1F" w:rsidRDefault="00781A1F" w:rsidP="0084285A">
            <w:pPr>
              <w:pStyle w:val="Default"/>
            </w:pP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Evaluate for the occurrence of physiological changes through a health history,  and physical examination for the presence of normal and aging changes  on health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Provide a coordinated appointment of a patient's to their primary healthcare providers.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Poor formal relations between healthcare providers to the patients account for prolonged health complications to many mobile patients.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b/>
                <w:color w:val="auto"/>
              </w:rPr>
              <w:t>Advanced directives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  <w:r w:rsidRPr="00781A1F">
              <w:rPr>
                <w:color w:val="auto"/>
              </w:rPr>
              <w:t xml:space="preserve">This is the right of a person to decide what to do with their bodies. 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Assist the patients in conversations with their families.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b/>
                <w:color w:val="auto"/>
              </w:rPr>
              <w:t>Palliative Care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  <w:r w:rsidRPr="00781A1F">
              <w:rPr>
                <w:color w:val="auto"/>
              </w:rPr>
              <w:t>This is a move that tends to improve the welfare of patients associated with terminal illnesses.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  <w:r w:rsidRPr="00781A1F">
              <w:rPr>
                <w:color w:val="auto"/>
              </w:rPr>
              <w:t>The care focuses on relieving suffering from the patients as well as new identification mechanism that supports the prevention of these illnesses.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Communication Difficulties: Assessment and Interventions this tool is used to identify whether any prevention care was developed in an attempt to prevent older people from terminal illnesses.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Develop an appropriate mechanism that helps to prevent terminal illnesses to the elderly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Majority of the older people suffer from terminal diseases because of the failure of early identification mechanisms.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b/>
                <w:color w:val="auto"/>
              </w:rPr>
              <w:t>Falls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  <w:r w:rsidRPr="00781A1F">
              <w:rPr>
                <w:color w:val="auto"/>
              </w:rPr>
              <w:t>Fall is a condition that results in people coming to rest usually at lower levels than expected.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Older people are at the highest danger of severe injury or even death resulting from falls due to their increasing </w:t>
            </w: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age.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b/>
                <w:color w:val="auto"/>
              </w:rPr>
              <w:lastRenderedPageBreak/>
              <w:t>Frailty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  <w:r w:rsidRPr="00781A1F">
              <w:rPr>
                <w:color w:val="auto"/>
              </w:rPr>
              <w:t>This is a universal healthcare syndrome of poor resolution among older people.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b/>
                <w:color w:val="auto"/>
              </w:rPr>
              <w:t>Assessing Cognition</w:t>
            </w:r>
          </w:p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rStyle w:val="field-content"/>
              </w:rPr>
              <w:t>Is simply the process of processing of information that is received in the brain of a person. It also involves the process of how this information is processed and retrieved for use in the future.</w:t>
            </w:r>
          </w:p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e24kjd"/>
                <w:rFonts w:ascii="Times New Roman" w:hAnsi="Times New Roman" w:cs="Times New Roman"/>
                <w:bCs/>
                <w:sz w:val="24"/>
                <w:szCs w:val="24"/>
              </w:rPr>
              <w:t>Assessment</w:t>
            </w:r>
            <w:r w:rsidRPr="00781A1F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781A1F">
              <w:rPr>
                <w:rStyle w:val="e24kjd"/>
                <w:rFonts w:ascii="Times New Roman" w:hAnsi="Times New Roman" w:cs="Times New Roman"/>
                <w:bCs/>
                <w:sz w:val="24"/>
                <w:szCs w:val="24"/>
              </w:rPr>
              <w:t>Cognition</w:t>
            </w:r>
            <w:r w:rsidRPr="00781A1F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 xml:space="preserve"> Screening Test tool 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Ensure close monitoring to ensure the effectiveness of medication that is offered to the patients.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Older people tend to loss of memory and even take long to retrieve past information. 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b/>
                <w:color w:val="auto"/>
              </w:rPr>
              <w:t>Delirium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  <w:r w:rsidRPr="00781A1F">
              <w:rPr>
                <w:color w:val="auto"/>
              </w:rPr>
              <w:t xml:space="preserve">This is a sudden change in the brain that results in mental confusion and disruptions of a person's emotions. 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Universal mental screening is critical to patients affected by this condition.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Organize for regular clinical checkups to ensure that the patients get sufficient medical attention.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Older persons suffering from this condition require very close attention from their close family members.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b/>
                <w:color w:val="auto"/>
              </w:rPr>
              <w:t>Depression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Depression is a mental disorder that affects the occupational and social functioning of the elderly.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  <w:r w:rsidRPr="00781A1F">
              <w:t>It is associated with; genetical, environmental, biological, and psychosocial factors.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Patient Health Questionnaire (PHQ-9) is preferred when screening Depression in the elderly.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It remains to be the simplest and the most accurate model to diagnose Depression.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Regular screenings across all levels of healthcare settings identification of mental health disorders.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Ensure maximum independence is granted to those affected.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Inadequate social inclusion of the older persons tends to make them feel excluded in society. 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Dementia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 xml:space="preserve">This is a health-related condition that involves memory failure and the disruption of the </w:t>
            </w:r>
            <w:r w:rsidRPr="00781A1F">
              <w:lastRenderedPageBreak/>
              <w:t>general functioning of the brain.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 xml:space="preserve">They are usually associated with the change in the behaviors of older persons. 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lastRenderedPageBreak/>
              <w:t>Folstein Mini-Mental State Examination is the standard tool used to evaluate the level of cognitive change.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 xml:space="preserve">This tool is preferred </w:t>
            </w: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lastRenderedPageBreak/>
              <w:t>most since it has copyright protecting it.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Ensure adequate sleep for the patient.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Regular evaluation of the effectiveness of medication to the patients.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Patients suffering from this condition need to be provided with sufficient medical care attention to </w:t>
            </w: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help them manage this condition.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Nutrition in the elderly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Older persons require very close attention to the type of foods they consume.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Diseases suffered mostly by the elderly typically result from dietary factors.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Malnutrition Universal Screening is a web-based tool used to measure and assess practices relating to nutrition issues.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It helps to identify the state of imbalance of nutrients in the body. 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Lifestyle modifications and improved diets.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Regular screenings that assist in identifying levels of nutritional imbalance in the body.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The older population is at a threat for malnutrition due to social, dietary issues affecting them.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Mealtime difficulties </w:t>
            </w:r>
          </w:p>
          <w:p w:rsidR="00781A1F" w:rsidRPr="00781A1F" w:rsidRDefault="00781A1F" w:rsidP="0084285A">
            <w:pPr>
              <w:pStyle w:val="Default"/>
              <w:rPr>
                <w:b/>
                <w:color w:val="auto"/>
              </w:rPr>
            </w:pPr>
            <w:r w:rsidRPr="00781A1F">
              <w:rPr>
                <w:b/>
                <w:color w:val="auto"/>
              </w:rPr>
              <w:t>Oral Health Care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  <w:r w:rsidRPr="00781A1F">
              <w:rPr>
                <w:color w:val="auto"/>
              </w:rPr>
              <w:t>This is the process of maintaining dental hygiene to prevent any dental; related complications.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The Oral Health Assessment Tool (OHAT) that uses an eight-level screening model to assess the oral health of patients with dementia.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It provides for intervals through which the screening is conducted.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Develop an oral hygiene plan, especially ensuring regular cleaning of the tooth.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Brush any denture with toothpaste and toothbrush to maximize the level of hygiene.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Most dental related complications result from poor dental hygiene, especially after taking meals.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>Urinary Incontinence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 xml:space="preserve">This is the loss of urine that occurs without personal consent.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It is generally associated with increased pressure in the lower abdomen.</w:t>
            </w: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 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Urinary Incontinence Assessment in Older Adults this tools helps to conduct a detailed analysis of the nature of a person's urine to develop appropriate medical interventions.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Ensure that you identify the causes of this condition consequently look for the appropriate medication. 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The aging process of older persons results to pressure imbalances in the abdomen. 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Pain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 xml:space="preserve">Pain is the sensory pitch on the human body that results from </w:t>
            </w:r>
            <w:r w:rsidRPr="00781A1F">
              <w:lastRenderedPageBreak/>
              <w:t xml:space="preserve">injury or even surgery performed to human bodies.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 xml:space="preserve"> Pain develops adverse effects on the health and functioning of the elderly in society.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Unrelieved pain can result in complications in the movement of those affected, increased dependency, and even weaken the healing process.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Assenting pain in older persons while Try this D2, on the other hand, is preferred in evaluating pain to </w:t>
            </w: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persons suffering from Dementia conditions.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Provide drugs that relieve pain to patients regularly to manage levels of anxiety.</w:t>
            </w:r>
          </w:p>
          <w:p w:rsidR="00781A1F" w:rsidRPr="00781A1F" w:rsidRDefault="00781A1F" w:rsidP="0084285A">
            <w:pPr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case of severe pain instances like where surgery has been conducted to a patient administer i</w:t>
            </w: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ntravenous analgesics to the affected.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t>Maintain close monitoring to the patients to avoid overmedication.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Quick pain assessments assist in evaluating the duration, onset, </w:t>
            </w: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intensity of their pain to the older persons.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Sensory changes </w:t>
            </w:r>
          </w:p>
          <w:p w:rsidR="00781A1F" w:rsidRPr="00781A1F" w:rsidRDefault="00781A1F" w:rsidP="0084285A">
            <w:pPr>
              <w:pStyle w:val="Default"/>
            </w:pPr>
          </w:p>
          <w:p w:rsidR="00781A1F" w:rsidRPr="00781A1F" w:rsidRDefault="00781A1F" w:rsidP="0084285A">
            <w:pPr>
              <w:pStyle w:val="Default"/>
            </w:pPr>
            <w:r w:rsidRPr="00781A1F">
              <w:t>Deals with various changes in people usually triggered by the aging process.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Most of these changes are associated with differences in sensory abilities of the affected, including changes in capacities to see, taste hear, or even smell.</w:t>
            </w: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They are screening the hearing in the elderly, giving the outcomes of the state of their hearing conditions. 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Screening is also done to identify the nature of the eye lenses of patients.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Encourage the patient to use eyeglasses provided by the medics and ensure their rooms have proper lighting systems.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Provide written instruction to people with hearing complications.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Use low tones when communicating with people with this problem.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Regular checkups are vital to assess the state of various body parts affected by sensory changes.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Sleep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Difficulty in initiating sleep and sleep disorders ate the significant causes of excessive sleepiness.</w:t>
            </w: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t xml:space="preserve">Most health providers are not aware of sleep disorders and therefore, redundant to offer any medical support to </w:t>
            </w:r>
            <w:r w:rsidRPr="00781A1F">
              <w:lastRenderedPageBreak/>
              <w:t>these conditions.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Epworth sleepiness scale 2 is an instrument that is used to screen the extent of the tendency of people sleeping during the day.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It was developed to assess the nature of people sleeping during the day by DR. John.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Questions were </w:t>
            </w: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administered to people with a tendency to fall asleep during the day; respondents who gave the highest score in their response were rated to have high sleeping tendencies.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Proper management of symptoms and any psychological disorders that interfere with people's sleeping patterns such as pain and Depression.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Many sleep disorders can be controlled by ensuring that people manage their schedules, ultimately having sufficient time to sleep.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>Substance use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 xml:space="preserve">Continuous patterns in alcohol and drug abuse result in adverse health complications to older persons.  </w:t>
            </w: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Quantity-frequency index is an essential tool during the screening of alcohol and drug use to individuals.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The short Michigan alcohol screening test-geriatric version is used in all screening settings where a short while screen is administered.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 xml:space="preserve"> Self-interviews are administered to individuals with 5 minutes intervals required to interpret one person. 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This tool is most useful, where we have limited time to conduct the screening.</w:t>
            </w: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Urine tests are generally conducted to identify levels of toxins in the body.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Encourage those in drug and alcohol to attend community-based initiatives such as narcotics and alcoholics anonymous meetings.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Majority of the elderly have developed alcohol and drug-related complications due to their continuous patterns in the consumption in their life.</w:t>
            </w:r>
          </w:p>
        </w:tc>
      </w:tr>
      <w:tr w:rsidR="00781A1F" w:rsidRPr="00781A1F" w:rsidTr="0084285A">
        <w:tc>
          <w:tcPr>
            <w:tcW w:w="2535" w:type="dxa"/>
          </w:tcPr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  <w:p w:rsidR="00781A1F" w:rsidRPr="00781A1F" w:rsidRDefault="00781A1F" w:rsidP="0084285A">
            <w:pPr>
              <w:pStyle w:val="Default"/>
              <w:rPr>
                <w:b/>
              </w:rPr>
            </w:pPr>
            <w:r w:rsidRPr="00781A1F">
              <w:rPr>
                <w:b/>
              </w:rPr>
              <w:t xml:space="preserve">Sexuality 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Sexual intimacies are continuous across the life of human beings.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Sexuality involves reproduction, sex, gender, reproduction, among other critical aspects.</w:t>
            </w:r>
          </w:p>
          <w:p w:rsidR="00781A1F" w:rsidRPr="00781A1F" w:rsidRDefault="00781A1F" w:rsidP="0084285A">
            <w:pPr>
              <w:pStyle w:val="Default"/>
            </w:pPr>
            <w:r w:rsidRPr="00781A1F">
              <w:t>Despite the growing lust for sex in life, sexual health among reduce significantly on older people.</w:t>
            </w:r>
          </w:p>
          <w:p w:rsidR="00781A1F" w:rsidRPr="00781A1F" w:rsidRDefault="00781A1F" w:rsidP="0084285A">
            <w:pPr>
              <w:pStyle w:val="Default"/>
            </w:pPr>
          </w:p>
          <w:p w:rsidR="00781A1F" w:rsidRPr="00781A1F" w:rsidRDefault="00781A1F" w:rsidP="0084285A">
            <w:pPr>
              <w:pStyle w:val="Default"/>
              <w:rPr>
                <w:color w:val="auto"/>
              </w:rPr>
            </w:pPr>
          </w:p>
        </w:tc>
        <w:tc>
          <w:tcPr>
            <w:tcW w:w="2506" w:type="dxa"/>
          </w:tcPr>
          <w:p w:rsidR="00781A1F" w:rsidRPr="00781A1F" w:rsidRDefault="00781A1F" w:rsidP="0084285A">
            <w:pPr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Style w:val="field-content"/>
                <w:rFonts w:ascii="Times New Roman" w:hAnsi="Times New Roman" w:cs="Times New Roman"/>
                <w:sz w:val="24"/>
                <w:szCs w:val="24"/>
              </w:rPr>
              <w:lastRenderedPageBreak/>
              <w:t>Evaluate the occurrence of physiological changes through health history and physical examination for the presence of normal and aging changes that impact sexual health.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Encourage close family meetings with conversations related to sexuality matters.</w:t>
            </w:r>
          </w:p>
        </w:tc>
        <w:tc>
          <w:tcPr>
            <w:tcW w:w="1943" w:type="dxa"/>
          </w:tcPr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The levels of lust for sex in life reduce significantly in order persons.</w:t>
            </w:r>
          </w:p>
          <w:p w:rsidR="00781A1F" w:rsidRPr="00781A1F" w:rsidRDefault="00781A1F" w:rsidP="00842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A1F">
              <w:rPr>
                <w:rFonts w:ascii="Times New Roman" w:hAnsi="Times New Roman" w:cs="Times New Roman"/>
                <w:sz w:val="24"/>
                <w:szCs w:val="24"/>
              </w:rPr>
              <w:t>This is associated with a decrease in the reproduction levels among the elderly.</w:t>
            </w:r>
          </w:p>
        </w:tc>
      </w:tr>
    </w:tbl>
    <w:p w:rsidR="00781A1F" w:rsidRPr="00781A1F" w:rsidRDefault="00781A1F" w:rsidP="00781A1F">
      <w:pPr>
        <w:rPr>
          <w:rFonts w:ascii="Times New Roman" w:hAnsi="Times New Roman" w:cs="Times New Roman"/>
          <w:sz w:val="24"/>
          <w:szCs w:val="24"/>
        </w:rPr>
      </w:pPr>
    </w:p>
    <w:p w:rsidR="00781A1F" w:rsidRPr="00781A1F" w:rsidRDefault="00781A1F" w:rsidP="00781A1F">
      <w:pPr>
        <w:rPr>
          <w:rFonts w:ascii="Times New Roman" w:hAnsi="Times New Roman" w:cs="Times New Roman"/>
          <w:sz w:val="24"/>
          <w:szCs w:val="24"/>
        </w:rPr>
      </w:pPr>
    </w:p>
    <w:p w:rsidR="00781A1F" w:rsidRPr="00781A1F" w:rsidRDefault="00781A1F" w:rsidP="00781A1F">
      <w:pPr>
        <w:rPr>
          <w:rFonts w:ascii="Times New Roman" w:hAnsi="Times New Roman" w:cs="Times New Roman"/>
          <w:sz w:val="24"/>
          <w:szCs w:val="24"/>
        </w:rPr>
      </w:pPr>
    </w:p>
    <w:p w:rsidR="00E02D17" w:rsidRPr="00781A1F" w:rsidRDefault="00E02D17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sectPr w:rsidR="00E02D17" w:rsidRPr="00781A1F" w:rsidSect="002F4CDB">
      <w:pgSz w:w="12240" w:h="15840"/>
      <w:pgMar w:top="1440" w:right="1440" w:bottom="1440" w:left="1440" w:header="0" w:footer="0" w:gutter="0"/>
      <w:cols w:space="720"/>
      <w:formProt w:val="0"/>
      <w:docGrid w:linePitch="360" w:charSpace="16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D24" w:rsidRDefault="00501D24">
      <w:pPr>
        <w:spacing w:after="0" w:line="240" w:lineRule="auto"/>
      </w:pPr>
      <w:r>
        <w:separator/>
      </w:r>
    </w:p>
  </w:endnote>
  <w:endnote w:type="continuationSeparator" w:id="1">
    <w:p w:rsidR="00501D24" w:rsidRDefault="00501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D24" w:rsidRDefault="00501D24">
      <w:pPr>
        <w:spacing w:after="0" w:line="240" w:lineRule="auto"/>
      </w:pPr>
      <w:r>
        <w:separator/>
      </w:r>
    </w:p>
  </w:footnote>
  <w:footnote w:type="continuationSeparator" w:id="1">
    <w:p w:rsidR="00501D24" w:rsidRDefault="00501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17" w:rsidRDefault="00781A1F" w:rsidP="00781A1F">
    <w:pPr>
      <w:pStyle w:val="Header"/>
      <w:tabs>
        <w:tab w:val="center" w:pos="9483"/>
      </w:tabs>
      <w:spacing w:before="960" w:line="480" w:lineRule="auto"/>
    </w:pPr>
    <w:r w:rsidRPr="00781A1F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Toolbox for Geriatric Assessment.</w:t>
    </w:r>
    <w:r w:rsidR="007C57C4">
      <w:rPr>
        <w:rFonts w:ascii="Times New Roman" w:hAnsi="Times New Roman" w:cs="Times New Roman"/>
      </w:rPr>
      <w:tab/>
    </w:r>
    <w:r w:rsidR="003C1696">
      <w:rPr>
        <w:rFonts w:ascii="Times New Roman" w:hAnsi="Times New Roman" w:cs="Times New Roman"/>
      </w:rPr>
      <w:tab/>
    </w:r>
    <w:bookmarkStart w:id="0" w:name="_GoBack"/>
    <w:bookmarkEnd w:id="0"/>
    <w:r w:rsidR="002F4CDB">
      <w:fldChar w:fldCharType="begin"/>
    </w:r>
    <w:r w:rsidR="007C57C4">
      <w:instrText>PAGE</w:instrText>
    </w:r>
    <w:r w:rsidR="002F4CDB">
      <w:fldChar w:fldCharType="separate"/>
    </w:r>
    <w:r>
      <w:rPr>
        <w:noProof/>
      </w:rPr>
      <w:t>5</w:t>
    </w:r>
    <w:r w:rsidR="002F4CDB"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696" w:rsidRDefault="003C1696" w:rsidP="00781A1F">
    <w:pPr>
      <w:pStyle w:val="Header"/>
      <w:spacing w:line="480" w:lineRule="auto"/>
    </w:pPr>
    <w:r>
      <w:t>Running head</w:t>
    </w:r>
    <w:r w:rsidRPr="00781A1F">
      <w:rPr>
        <w:rFonts w:ascii="Times New Roman" w:hAnsi="Times New Roman" w:cs="Times New Roman"/>
        <w:sz w:val="24"/>
        <w:szCs w:val="24"/>
      </w:rPr>
      <w:t xml:space="preserve">: </w:t>
    </w:r>
    <w:r w:rsidR="00781A1F" w:rsidRPr="00781A1F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Toolbox for Geriatric Assessment.</w:t>
    </w:r>
    <w:r w:rsidRPr="00781A1F">
      <w:rPr>
        <w:rFonts w:ascii="Times New Roman" w:hAnsi="Times New Roman" w:cs="Times New Roman"/>
        <w:sz w:val="24"/>
        <w:szCs w:val="24"/>
      </w:rPr>
      <w:tab/>
    </w:r>
    <w: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403F"/>
    <w:multiLevelType w:val="hybridMultilevel"/>
    <w:tmpl w:val="48241874"/>
    <w:lvl w:ilvl="0" w:tplc="C71AC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9AE2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68DD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65F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4EB4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92D9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EA6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009C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38DC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8416A"/>
    <w:multiLevelType w:val="hybridMultilevel"/>
    <w:tmpl w:val="0166F47A"/>
    <w:lvl w:ilvl="0" w:tplc="F52A0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EEECF8">
      <w:numFmt w:val="bullet"/>
      <w:lvlText w:val=""/>
      <w:lvlJc w:val="left"/>
      <w:pPr>
        <w:ind w:left="1440" w:hanging="360"/>
      </w:pPr>
      <w:rPr>
        <w:rFonts w:ascii="Symbol" w:eastAsiaTheme="minorHAnsi" w:hAnsi="Symbol" w:cs="Courier New" w:hint="default"/>
      </w:rPr>
    </w:lvl>
    <w:lvl w:ilvl="2" w:tplc="748EE44C" w:tentative="1">
      <w:start w:val="1"/>
      <w:numFmt w:val="lowerRoman"/>
      <w:lvlText w:val="%3."/>
      <w:lvlJc w:val="right"/>
      <w:pPr>
        <w:ind w:left="2160" w:hanging="180"/>
      </w:pPr>
    </w:lvl>
    <w:lvl w:ilvl="3" w:tplc="FC36656C" w:tentative="1">
      <w:start w:val="1"/>
      <w:numFmt w:val="decimal"/>
      <w:lvlText w:val="%4."/>
      <w:lvlJc w:val="left"/>
      <w:pPr>
        <w:ind w:left="2880" w:hanging="360"/>
      </w:pPr>
    </w:lvl>
    <w:lvl w:ilvl="4" w:tplc="71AA2162" w:tentative="1">
      <w:start w:val="1"/>
      <w:numFmt w:val="lowerLetter"/>
      <w:lvlText w:val="%5."/>
      <w:lvlJc w:val="left"/>
      <w:pPr>
        <w:ind w:left="3600" w:hanging="360"/>
      </w:pPr>
    </w:lvl>
    <w:lvl w:ilvl="5" w:tplc="2CD42BF2" w:tentative="1">
      <w:start w:val="1"/>
      <w:numFmt w:val="lowerRoman"/>
      <w:lvlText w:val="%6."/>
      <w:lvlJc w:val="right"/>
      <w:pPr>
        <w:ind w:left="4320" w:hanging="180"/>
      </w:pPr>
    </w:lvl>
    <w:lvl w:ilvl="6" w:tplc="3A1225E6" w:tentative="1">
      <w:start w:val="1"/>
      <w:numFmt w:val="decimal"/>
      <w:lvlText w:val="%7."/>
      <w:lvlJc w:val="left"/>
      <w:pPr>
        <w:ind w:left="5040" w:hanging="360"/>
      </w:pPr>
    </w:lvl>
    <w:lvl w:ilvl="7" w:tplc="67CEB9F2" w:tentative="1">
      <w:start w:val="1"/>
      <w:numFmt w:val="lowerLetter"/>
      <w:lvlText w:val="%8."/>
      <w:lvlJc w:val="left"/>
      <w:pPr>
        <w:ind w:left="5760" w:hanging="360"/>
      </w:pPr>
    </w:lvl>
    <w:lvl w:ilvl="8" w:tplc="26FAB6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5159E2"/>
    <w:multiLevelType w:val="hybridMultilevel"/>
    <w:tmpl w:val="FA623988"/>
    <w:lvl w:ilvl="0" w:tplc="8C60D3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67C6D2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6208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71A145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1244F3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542D53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64AEE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E9AC15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D0E8F5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DA019A"/>
    <w:multiLevelType w:val="hybridMultilevel"/>
    <w:tmpl w:val="DB90B40A"/>
    <w:lvl w:ilvl="0" w:tplc="89921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70C95E" w:tentative="1">
      <w:start w:val="1"/>
      <w:numFmt w:val="lowerLetter"/>
      <w:lvlText w:val="%2."/>
      <w:lvlJc w:val="left"/>
      <w:pPr>
        <w:ind w:left="1440" w:hanging="360"/>
      </w:pPr>
    </w:lvl>
    <w:lvl w:ilvl="2" w:tplc="933AB73C" w:tentative="1">
      <w:start w:val="1"/>
      <w:numFmt w:val="lowerRoman"/>
      <w:lvlText w:val="%3."/>
      <w:lvlJc w:val="right"/>
      <w:pPr>
        <w:ind w:left="2160" w:hanging="180"/>
      </w:pPr>
    </w:lvl>
    <w:lvl w:ilvl="3" w:tplc="F93AB2EA" w:tentative="1">
      <w:start w:val="1"/>
      <w:numFmt w:val="decimal"/>
      <w:lvlText w:val="%4."/>
      <w:lvlJc w:val="left"/>
      <w:pPr>
        <w:ind w:left="2880" w:hanging="360"/>
      </w:pPr>
    </w:lvl>
    <w:lvl w:ilvl="4" w:tplc="410CFC9A" w:tentative="1">
      <w:start w:val="1"/>
      <w:numFmt w:val="lowerLetter"/>
      <w:lvlText w:val="%5."/>
      <w:lvlJc w:val="left"/>
      <w:pPr>
        <w:ind w:left="3600" w:hanging="360"/>
      </w:pPr>
    </w:lvl>
    <w:lvl w:ilvl="5" w:tplc="2D00D92C" w:tentative="1">
      <w:start w:val="1"/>
      <w:numFmt w:val="lowerRoman"/>
      <w:lvlText w:val="%6."/>
      <w:lvlJc w:val="right"/>
      <w:pPr>
        <w:ind w:left="4320" w:hanging="180"/>
      </w:pPr>
    </w:lvl>
    <w:lvl w:ilvl="6" w:tplc="0C1CDE40" w:tentative="1">
      <w:start w:val="1"/>
      <w:numFmt w:val="decimal"/>
      <w:lvlText w:val="%7."/>
      <w:lvlJc w:val="left"/>
      <w:pPr>
        <w:ind w:left="5040" w:hanging="360"/>
      </w:pPr>
    </w:lvl>
    <w:lvl w:ilvl="7" w:tplc="DACA152A" w:tentative="1">
      <w:start w:val="1"/>
      <w:numFmt w:val="lowerLetter"/>
      <w:lvlText w:val="%8."/>
      <w:lvlJc w:val="left"/>
      <w:pPr>
        <w:ind w:left="5760" w:hanging="360"/>
      </w:pPr>
    </w:lvl>
    <w:lvl w:ilvl="8" w:tplc="5A3659B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02D17"/>
    <w:rsid w:val="002F4CDB"/>
    <w:rsid w:val="003C1696"/>
    <w:rsid w:val="00501D24"/>
    <w:rsid w:val="00781A1F"/>
    <w:rsid w:val="007C57C4"/>
    <w:rsid w:val="00E02D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F4CDB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rsid w:val="002F4CDB"/>
  </w:style>
  <w:style w:type="character" w:customStyle="1" w:styleId="FooterChar">
    <w:name w:val="Footer Char"/>
    <w:basedOn w:val="DefaultParagraphFont"/>
    <w:rsid w:val="002F4CDB"/>
  </w:style>
  <w:style w:type="character" w:customStyle="1" w:styleId="InternetLink">
    <w:name w:val="Internet Link"/>
    <w:basedOn w:val="DefaultParagraphFont"/>
    <w:rsid w:val="002F4CDB"/>
    <w:rPr>
      <w:color w:val="0563C1"/>
      <w:u w:val="single"/>
      <w:lang w:val="en-US" w:eastAsia="en-US" w:bidi="en-US"/>
    </w:rPr>
  </w:style>
  <w:style w:type="character" w:customStyle="1" w:styleId="ListLabel1">
    <w:name w:val="ListLabel 1"/>
    <w:rsid w:val="002F4CDB"/>
    <w:rPr>
      <w:sz w:val="20"/>
    </w:rPr>
  </w:style>
  <w:style w:type="character" w:customStyle="1" w:styleId="ListLabel2">
    <w:name w:val="ListLabel 2"/>
    <w:rsid w:val="002F4CDB"/>
    <w:rPr>
      <w:rFonts w:cs="Courier New"/>
    </w:rPr>
  </w:style>
  <w:style w:type="paragraph" w:customStyle="1" w:styleId="Heading">
    <w:name w:val="Heading"/>
    <w:basedOn w:val="Normal"/>
    <w:next w:val="Textbody"/>
    <w:rsid w:val="002F4CDB"/>
    <w:pPr>
      <w:keepNext/>
      <w:spacing w:before="240" w:after="120"/>
    </w:pPr>
    <w:rPr>
      <w:rFonts w:ascii="Arial" w:hAnsi="Arial" w:cs="Lucida Sans"/>
      <w:sz w:val="28"/>
      <w:szCs w:val="28"/>
    </w:rPr>
  </w:style>
  <w:style w:type="paragraph" w:customStyle="1" w:styleId="Textbody">
    <w:name w:val="Text body"/>
    <w:basedOn w:val="Normal"/>
    <w:rsid w:val="002F4CDB"/>
    <w:pPr>
      <w:spacing w:after="120"/>
    </w:pPr>
  </w:style>
  <w:style w:type="paragraph" w:styleId="List">
    <w:name w:val="List"/>
    <w:basedOn w:val="Textbody"/>
    <w:rsid w:val="002F4CDB"/>
    <w:rPr>
      <w:rFonts w:cs="Lucida Sans"/>
    </w:rPr>
  </w:style>
  <w:style w:type="paragraph" w:styleId="Caption">
    <w:name w:val="caption"/>
    <w:basedOn w:val="Normal"/>
    <w:rsid w:val="002F4CD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rsid w:val="002F4CDB"/>
    <w:pPr>
      <w:suppressLineNumbers/>
    </w:pPr>
    <w:rPr>
      <w:rFonts w:cs="Lucida Sans"/>
    </w:rPr>
  </w:style>
  <w:style w:type="paragraph" w:styleId="Header">
    <w:name w:val="header"/>
    <w:basedOn w:val="Normal"/>
    <w:rsid w:val="002F4CDB"/>
    <w:pPr>
      <w:suppressLineNumbers/>
      <w:tabs>
        <w:tab w:val="center" w:pos="4680"/>
        <w:tab w:val="right" w:pos="9360"/>
      </w:tabs>
      <w:spacing w:after="0" w:line="100" w:lineRule="atLeast"/>
    </w:pPr>
  </w:style>
  <w:style w:type="paragraph" w:styleId="Footer">
    <w:name w:val="footer"/>
    <w:basedOn w:val="Normal"/>
    <w:rsid w:val="002F4CDB"/>
    <w:pPr>
      <w:suppressLineNumbers/>
      <w:tabs>
        <w:tab w:val="center" w:pos="4680"/>
        <w:tab w:val="right" w:pos="9360"/>
      </w:tabs>
      <w:spacing w:after="0" w:line="100" w:lineRule="atLeast"/>
    </w:pPr>
  </w:style>
  <w:style w:type="paragraph" w:styleId="NormalWeb">
    <w:name w:val="Normal (Web)"/>
    <w:basedOn w:val="Normal"/>
    <w:rsid w:val="002F4CDB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4CDB"/>
    <w:pPr>
      <w:ind w:left="720"/>
      <w:contextualSpacing/>
    </w:pPr>
  </w:style>
  <w:style w:type="paragraph" w:customStyle="1" w:styleId="TableContents">
    <w:name w:val="Table Contents"/>
    <w:basedOn w:val="Normal"/>
    <w:rsid w:val="002F4CDB"/>
    <w:pPr>
      <w:suppressLineNumbers/>
    </w:pPr>
  </w:style>
  <w:style w:type="paragraph" w:customStyle="1" w:styleId="TableHeading">
    <w:name w:val="Table Heading"/>
    <w:basedOn w:val="TableContents"/>
    <w:rsid w:val="002F4CDB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781A1F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81A1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customStyle="1" w:styleId="field-content">
    <w:name w:val="field-content"/>
    <w:basedOn w:val="DefaultParagraphFont"/>
    <w:rsid w:val="00781A1F"/>
  </w:style>
  <w:style w:type="character" w:customStyle="1" w:styleId="e24kjd">
    <w:name w:val="e24kjd"/>
    <w:basedOn w:val="DefaultParagraphFont"/>
    <w:rsid w:val="00781A1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MBUGUA</dc:creator>
  <cp:lastModifiedBy>Abytech</cp:lastModifiedBy>
  <cp:revision>2</cp:revision>
  <dcterms:created xsi:type="dcterms:W3CDTF">2019-06-04T18:07:00Z</dcterms:created>
  <dcterms:modified xsi:type="dcterms:W3CDTF">2019-06-04T18:07:00Z</dcterms:modified>
</cp:coreProperties>
</file>